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7E94" w14:textId="10495416"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21" w:name="_Toc235221566"/>
      <w:r w:rsidR="00C6326B" w:rsidRPr="00A51C84">
        <w:rPr>
          <w:rFonts w:asciiTheme="minorHAnsi" w:hAnsiTheme="minorHAnsi" w:cstheme="minorHAnsi"/>
          <w:sz w:val="22"/>
          <w:szCs w:val="22"/>
        </w:rPr>
        <w:t>Vignette 1</w:t>
      </w:r>
      <w:r w:rsidR="002E0BE7" w:rsidRPr="00A51C84">
        <w:rPr>
          <w:rFonts w:asciiTheme="minorHAnsi" w:hAnsiTheme="minorHAnsi" w:cstheme="minorHAnsi"/>
          <w:sz w:val="22"/>
          <w:szCs w:val="22"/>
        </w:rPr>
        <w:t>7</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Developmental Disorder</w:t>
      </w:r>
      <w:bookmarkEnd w:id="21"/>
    </w:p>
    <w:p w14:paraId="7BC0CE93" w14:textId="77777777" w:rsidR="00C6326B" w:rsidRPr="00A51C84" w:rsidRDefault="00C6326B" w:rsidP="00C66607">
      <w:pPr>
        <w:contextualSpacing/>
        <w:rPr>
          <w:rFonts w:cstheme="minorHAnsi"/>
        </w:rPr>
      </w:pPr>
    </w:p>
    <w:p w14:paraId="120B7E2D" w14:textId="1647C759" w:rsidR="00933AEA" w:rsidRPr="00A51C84" w:rsidRDefault="00933AEA" w:rsidP="00C66607">
      <w:pPr>
        <w:contextualSpacing/>
        <w:rPr>
          <w:rFonts w:cstheme="minorHAnsi"/>
        </w:rPr>
      </w:pPr>
      <w:r w:rsidRPr="00A51C84">
        <w:rPr>
          <w:rFonts w:cstheme="minorHAnsi"/>
        </w:rPr>
        <w:t>Psychiatric consultation is requested regarding capacity to consent for surgery for a 45-year-old male with intellectual and developmental disability</w:t>
      </w:r>
      <w:r w:rsidR="00C828B3" w:rsidRPr="00A51C84">
        <w:rPr>
          <w:rFonts w:cstheme="minorHAnsi"/>
        </w:rPr>
        <w:t xml:space="preserve">. The patient </w:t>
      </w:r>
      <w:r w:rsidRPr="00A51C84">
        <w:rPr>
          <w:rFonts w:cstheme="minorHAnsi"/>
        </w:rPr>
        <w:t xml:space="preserve">was brought to the emergency room from a group home with a three-day history of nausea, vomiting, and abdominal pain. Initial evaluation in the Emergency Room (ER) revealed a small bowel obstruction, which required nasogastric tube insertion and intravenous fluids. </w:t>
      </w:r>
    </w:p>
    <w:p w14:paraId="5DF4332D" w14:textId="77777777" w:rsidR="00933AEA" w:rsidRPr="00A51C84" w:rsidRDefault="00933AEA" w:rsidP="00C66607">
      <w:pPr>
        <w:contextualSpacing/>
        <w:rPr>
          <w:rFonts w:cstheme="minorHAnsi"/>
        </w:rPr>
      </w:pPr>
    </w:p>
    <w:p w14:paraId="08C6E0EF" w14:textId="7C5C3357" w:rsidR="00C6326B" w:rsidRPr="00A51C84" w:rsidRDefault="00933AEA" w:rsidP="00C66607">
      <w:pPr>
        <w:contextualSpacing/>
        <w:rPr>
          <w:rFonts w:cstheme="minorHAnsi"/>
        </w:rPr>
      </w:pPr>
      <w:r w:rsidRPr="00A51C84">
        <w:rPr>
          <w:rFonts w:cstheme="minorHAnsi"/>
        </w:rPr>
        <w:t>Admission and treatment were discussed with the group home staff member who brought the patient to the hospital as the patient was in distress and unable to pay attention to what the ER physician was explaining about his diagnosis and treatment plan. The staff member informed the physician that the patient did not have family who could be readily reached. While in the hospital, the patient failed to respond to conservative therapy and was thought to need surgery for the obstruction.</w:t>
      </w:r>
    </w:p>
    <w:p w14:paraId="6B533794" w14:textId="77777777" w:rsidR="00933AEA" w:rsidRPr="00A51C84" w:rsidRDefault="00933AEA" w:rsidP="00C66607">
      <w:pPr>
        <w:contextualSpacing/>
        <w:rPr>
          <w:rFonts w:cstheme="minorHAnsi"/>
        </w:rPr>
      </w:pPr>
    </w:p>
    <w:p w14:paraId="2E112F7A" w14:textId="6B84A757" w:rsidR="007C64EC" w:rsidRPr="00A51C84" w:rsidRDefault="007C64EC" w:rsidP="00C66607">
      <w:pPr>
        <w:contextualSpacing/>
        <w:rPr>
          <w:rFonts w:cstheme="minorHAnsi"/>
        </w:rPr>
      </w:pPr>
      <w:r w:rsidRPr="00A51C84">
        <w:rPr>
          <w:rFonts w:eastAsia="Times New Roman" w:cstheme="minorHAnsi"/>
          <w:b/>
          <w:bCs/>
          <w:iCs/>
          <w:color w:val="4F81BD"/>
        </w:rPr>
        <w:t>Discussion Questions:</w:t>
      </w:r>
    </w:p>
    <w:p w14:paraId="588C6855" w14:textId="77777777" w:rsidR="008F36FC" w:rsidRDefault="008F36FC" w:rsidP="00C66607">
      <w:pPr>
        <w:pStyle w:val="Heading3"/>
        <w:spacing w:before="0"/>
        <w:contextualSpacing/>
        <w:rPr>
          <w:rFonts w:asciiTheme="minorHAnsi" w:hAnsiTheme="minorHAnsi" w:cstheme="minorHAnsi"/>
        </w:rPr>
      </w:pPr>
    </w:p>
    <w:p w14:paraId="5A4E6B8A" w14:textId="63E4B8A4" w:rsidR="007C64EC"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00F118AD" w:rsidRPr="00A51C84">
        <w:rPr>
          <w:rFonts w:asciiTheme="minorHAnsi" w:hAnsiTheme="minorHAnsi" w:cstheme="minorHAnsi"/>
        </w:rPr>
        <w:t>If you felt that the patient lacked capacity to consent to surgery, how would you proceed with identifying a substitute decision maker? If no clear substitute decision maker could be identified, how would you proceed? Is court-appointed guardianship a reasonable option?</w:t>
      </w:r>
    </w:p>
    <w:p w14:paraId="3CE510EB" w14:textId="77777777" w:rsidR="00174B58" w:rsidRDefault="00174B58" w:rsidP="00174B58">
      <w:pPr>
        <w:pStyle w:val="Heading3"/>
        <w:spacing w:before="0"/>
        <w:contextualSpacing/>
        <w:rPr>
          <w:rFonts w:asciiTheme="minorHAnsi" w:hAnsiTheme="minorHAnsi" w:cstheme="minorHAnsi"/>
        </w:rPr>
      </w:pPr>
    </w:p>
    <w:p w14:paraId="3AC6E2C9" w14:textId="77777777" w:rsidR="00174B58" w:rsidRDefault="00174B58" w:rsidP="00174B58"/>
    <w:p w14:paraId="7AF70392" w14:textId="77777777" w:rsidR="00174B58" w:rsidRDefault="00174B58" w:rsidP="00174B58"/>
    <w:p w14:paraId="7150EDF9" w14:textId="77777777" w:rsidR="00174B58" w:rsidRDefault="00174B58" w:rsidP="00174B58"/>
    <w:p w14:paraId="48C665EA" w14:textId="77777777" w:rsidR="00174B58" w:rsidRDefault="00174B58" w:rsidP="00174B58"/>
    <w:p w14:paraId="7E40909B" w14:textId="77777777" w:rsidR="00174B58" w:rsidRDefault="00174B58" w:rsidP="00174B58"/>
    <w:p w14:paraId="0DF878E8" w14:textId="77777777" w:rsidR="00174B58" w:rsidRPr="007B0CD1" w:rsidRDefault="00174B58" w:rsidP="00174B58"/>
    <w:p w14:paraId="104313A8" w14:textId="77777777" w:rsidR="00174B58" w:rsidRPr="007B0CD1" w:rsidRDefault="00174B58" w:rsidP="00174B58"/>
    <w:p w14:paraId="1867B7E7" w14:textId="77777777" w:rsidR="007C64EC" w:rsidRPr="00A51C84" w:rsidRDefault="007C64EC" w:rsidP="00C66607">
      <w:pPr>
        <w:contextualSpacing/>
        <w:rPr>
          <w:rFonts w:cstheme="minorHAnsi"/>
        </w:rPr>
      </w:pPr>
    </w:p>
    <w:p w14:paraId="460F47E1" w14:textId="5782BBF9" w:rsidR="00C6326B" w:rsidRPr="00A51C84" w:rsidRDefault="007C64EC" w:rsidP="00C66607">
      <w:pPr>
        <w:pStyle w:val="Heading2"/>
        <w:contextualSpacing/>
        <w:rPr>
          <w:rFonts w:asciiTheme="minorHAnsi" w:hAnsiTheme="minorHAnsi" w:cstheme="minorHAnsi"/>
          <w:i w:val="0"/>
          <w:iCs/>
          <w:szCs w:val="22"/>
        </w:rPr>
      </w:pPr>
      <w:r w:rsidRPr="00A51C84">
        <w:rPr>
          <w:rFonts w:asciiTheme="minorHAnsi" w:hAnsiTheme="minorHAnsi" w:cstheme="minorHAnsi"/>
          <w:i w:val="0"/>
          <w:iCs/>
          <w:caps w:val="0"/>
          <w:szCs w:val="22"/>
        </w:rPr>
        <w:t>Continuation of Vignette</w:t>
      </w:r>
    </w:p>
    <w:p w14:paraId="53455BC1" w14:textId="77777777" w:rsidR="00C6326B" w:rsidRPr="00A51C84" w:rsidRDefault="00C6326B" w:rsidP="00C66607">
      <w:pPr>
        <w:contextualSpacing/>
        <w:rPr>
          <w:rFonts w:cstheme="minorHAnsi"/>
        </w:rPr>
      </w:pPr>
    </w:p>
    <w:p w14:paraId="1CFF53D0" w14:textId="4D8B699A" w:rsidR="00456F89" w:rsidRPr="00A51C84" w:rsidRDefault="00456F89" w:rsidP="00C66607">
      <w:pPr>
        <w:contextualSpacing/>
        <w:rPr>
          <w:rFonts w:eastAsia="Calibri" w:cstheme="minorHAnsi"/>
        </w:rPr>
      </w:pPr>
      <w:r w:rsidRPr="00A51C84">
        <w:rPr>
          <w:rFonts w:eastAsia="Calibri" w:cstheme="minorHAnsi"/>
        </w:rPr>
        <w:t>The patient successfully undergoes surgery and is felt to be recovering well post-operatively. However, on post-op day two, he begins to become agitated, hitting his head against the wall, pulling out his IV, and refusing to cooperate with nursing care. He is given two doses of Haldol 10 mg IM then placed in physical restraints when he remains agitated.</w:t>
      </w:r>
    </w:p>
    <w:p w14:paraId="2608F448" w14:textId="77777777" w:rsidR="008E539C" w:rsidRPr="00A51C84" w:rsidRDefault="008E539C" w:rsidP="00C66607">
      <w:pPr>
        <w:contextualSpacing/>
        <w:rPr>
          <w:rFonts w:cstheme="minorHAnsi"/>
        </w:rPr>
      </w:pPr>
    </w:p>
    <w:p w14:paraId="77CB2E77" w14:textId="6D4724C0"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6C620C" w:rsidRPr="00A51C84">
        <w:rPr>
          <w:rFonts w:asciiTheme="minorHAnsi" w:hAnsiTheme="minorHAnsi" w:cstheme="minorHAnsi"/>
        </w:rPr>
        <w:t>What are the clinical, administrative, and legal differences between physical restraints used for medical purposes compared to those used for psychiatric purposes? For what reasons are physical restraints used in the medical setting? For what reasons are they used for psychiatric purposes?</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