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C7E94" w14:textId="10495416" w:rsidR="00C6326B" w:rsidRPr="00D85F4D" w:rsidRDefault="003E73D7" w:rsidP="00AA4E58">
      <w:pPr>
        <w:pStyle w:val="Heading1"/>
        <w:pageBreakBefore w:val="0"/>
        <w:rPr>
          <w:rFonts w:asciiTheme="minorHAnsi" w:hAnsiTheme="minorHAnsi" w:cstheme="minorHAnsi"/>
        </w:rPr>
      </w:pPr>
      <w:r w:rsidRPr="00D85F4D">
        <w:rPr>
          <w:rFonts w:asciiTheme="minorHAnsi" w:hAnsiTheme="minorHAnsi" w:cstheme="minorHAnsi"/>
        </w:rPr>
      </w:r>
      <w:bookmarkStart w:id="29" w:name="_Toc235221566"/>
      <w:r w:rsidR="00C6326B" w:rsidRPr="00D85F4D">
        <w:rPr>
          <w:rFonts w:asciiTheme="minorHAnsi" w:hAnsiTheme="minorHAnsi" w:cstheme="minorHAnsi"/>
        </w:rPr>
        <w:t>Vignette 1</w:t>
      </w:r>
      <w:r w:rsidR="002E0BE7" w:rsidRPr="00D85F4D">
        <w:rPr>
          <w:rFonts w:asciiTheme="minorHAnsi" w:hAnsiTheme="minorHAnsi" w:cstheme="minorHAnsi"/>
        </w:rPr>
        <w:t>7</w:t>
      </w:r>
      <w:r w:rsidR="00D20E02" w:rsidRPr="00D85F4D">
        <w:rPr>
          <w:rFonts w:asciiTheme="minorHAnsi" w:hAnsiTheme="minorHAnsi" w:cstheme="minorHAnsi"/>
        </w:rPr>
        <w:t xml:space="preserve">. </w:t>
      </w:r>
      <w:r w:rsidR="00C6326B" w:rsidRPr="00D85F4D">
        <w:rPr>
          <w:rFonts w:asciiTheme="minorHAnsi" w:hAnsiTheme="minorHAnsi" w:cstheme="minorHAnsi"/>
        </w:rPr>
        <w:t>Developmental Disorder</w:t>
      </w:r>
      <w:bookmarkEnd w:id="29"/>
    </w:p>
    <w:p w14:paraId="7BC0CE93" w14:textId="77777777" w:rsidR="00C6326B" w:rsidRPr="002E3801" w:rsidRDefault="00C6326B" w:rsidP="00AA4E58">
      <w:pPr>
        <w:rPr>
          <w:rFonts w:cstheme="minorHAnsi"/>
        </w:rPr>
      </w:pPr>
    </w:p>
    <w:p w14:paraId="120B7E2D" w14:textId="1647C759" w:rsidR="00933AEA" w:rsidRPr="002E3801" w:rsidRDefault="00933AEA" w:rsidP="00933AEA">
      <w:pPr>
        <w:rPr>
          <w:rFonts w:cstheme="minorHAnsi"/>
        </w:rPr>
      </w:pPr>
      <w:r w:rsidRPr="002E3801">
        <w:rPr>
          <w:rFonts w:cstheme="minorHAnsi"/>
        </w:rPr>
        <w:t>Psychiatric consultation is requested regarding capacity to consent for surgery for a 45-year-old male with intellectual and developmental disability</w:t>
      </w:r>
      <w:r w:rsidR="00C828B3">
        <w:rPr>
          <w:rFonts w:cstheme="minorHAnsi"/>
        </w:rPr>
        <w:t xml:space="preserve">. The patient </w:t>
      </w:r>
      <w:r w:rsidRPr="002E3801">
        <w:rPr>
          <w:rFonts w:cstheme="minorHAnsi"/>
        </w:rPr>
        <w:t xml:space="preserve">was brought to the emergency room from a group home with a three-day history of nausea, vomiting, and abdominal pain. Initial evaluation in the Emergency Room (ER) revealed a small bowel obstruction, which required nasogastric tube insertion and intravenous fluids. </w:t>
      </w:r>
    </w:p>
    <w:p w14:paraId="5DF4332D" w14:textId="77777777" w:rsidR="00933AEA" w:rsidRPr="002E3801" w:rsidRDefault="00933AEA" w:rsidP="00933AEA">
      <w:pPr>
        <w:rPr>
          <w:rFonts w:cstheme="minorHAnsi"/>
        </w:rPr>
      </w:pPr>
    </w:p>
    <w:p w14:paraId="08C6E0EF" w14:textId="7C5C3357" w:rsidR="00C6326B" w:rsidRPr="002E3801" w:rsidRDefault="00933AEA" w:rsidP="00933AEA">
      <w:pPr>
        <w:rPr>
          <w:rFonts w:cstheme="minorHAnsi"/>
        </w:rPr>
      </w:pPr>
      <w:r w:rsidRPr="002E3801">
        <w:rPr>
          <w:rFonts w:cstheme="minorHAnsi"/>
        </w:rPr>
        <w:t>Admission and treatment were discussed with the group home staff member who brought the patient to the hospital as the patient was in distress and unable to pay attention to what the ER physician was explaining about his diagnosis and treatment plan. The staff member informed the physician that the patient did not have family who could be readily reached. While in the hospital, the patient failed to respond to conservative therapy and was thought to need surgery for the obstruction.</w:t>
      </w:r>
    </w:p>
    <w:p w14:paraId="6B533794" w14:textId="77777777" w:rsidR="00933AEA" w:rsidRPr="002E3801" w:rsidRDefault="00933AEA" w:rsidP="00933AEA">
      <w:pPr>
        <w:rPr>
          <w:rFonts w:cstheme="minorHAnsi"/>
        </w:rPr>
      </w:pPr>
    </w:p>
    <w:p w14:paraId="50AFD77D"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Patient Care, Medical Knowledge, Systems-Based Practice</w:t>
      </w:r>
    </w:p>
    <w:p w14:paraId="04EAA5C3" w14:textId="1B0D3629" w:rsidR="008E539C" w:rsidRPr="00D85F4D" w:rsidRDefault="00C6326B" w:rsidP="00E34E08">
      <w:pPr>
        <w:pStyle w:val="Heading3"/>
        <w:rPr>
          <w:rFonts w:asciiTheme="minorHAnsi" w:hAnsiTheme="minorHAnsi" w:cstheme="minorHAnsi"/>
        </w:rPr>
      </w:pPr>
      <w:r w:rsidRPr="00D85F4D">
        <w:rPr>
          <w:rFonts w:asciiTheme="minorHAnsi" w:hAnsiTheme="minorHAnsi" w:cstheme="minorHAnsi"/>
        </w:rPr>
        <w:t>1.</w:t>
      </w:r>
      <w:r w:rsidR="005C2302" w:rsidRPr="00D85F4D">
        <w:rPr>
          <w:rFonts w:asciiTheme="minorHAnsi" w:hAnsiTheme="minorHAnsi" w:cstheme="minorHAnsi"/>
        </w:rPr>
        <w:tab/>
      </w:r>
      <w:r w:rsidR="00F118AD" w:rsidRPr="00D85F4D">
        <w:rPr>
          <w:rFonts w:asciiTheme="minorHAnsi" w:hAnsiTheme="minorHAnsi" w:cstheme="minorHAnsi"/>
        </w:rPr>
        <w:t>If you felt that the patient lacked capacity to consent to surgery, how would you proceed with identifying a substitute decision maker? If no clear substitute decision maker could be identified, how would you proceed? Is court-appointed guardianship a reasonable option?</w:t>
      </w:r>
    </w:p>
    <w:p w14:paraId="38E5EB07" w14:textId="77777777" w:rsidR="00C6326B" w:rsidRPr="002E3801" w:rsidRDefault="00C6326B" w:rsidP="00AA4E58">
      <w:pPr>
        <w:rPr>
          <w:rFonts w:cstheme="minorHAnsi"/>
        </w:rPr>
      </w:pPr>
    </w:p>
    <w:p w14:paraId="12E3F5A8" w14:textId="77777777" w:rsidR="00085CDB" w:rsidRPr="002E3801" w:rsidRDefault="00085CDB" w:rsidP="00085CDB">
      <w:pPr>
        <w:pStyle w:val="indentstemquestions"/>
        <w:rPr>
          <w:rFonts w:cstheme="minorHAnsi"/>
        </w:rPr>
      </w:pPr>
      <w:r w:rsidRPr="002E3801">
        <w:rPr>
          <w:rFonts w:cstheme="minorHAnsi"/>
        </w:rPr>
        <w:t>1.1.</w:t>
      </w:r>
      <w:r w:rsidRPr="002E3801">
        <w:rPr>
          <w:rFonts w:cstheme="minorHAnsi"/>
        </w:rPr>
        <w:tab/>
        <w:t>Although the group home staff member had mentioned in the ER that the patient’s family was not readily reachable, they might be the most appropriate choices as proxy decision makers.</w:t>
      </w:r>
    </w:p>
    <w:p w14:paraId="4E53DEF5" w14:textId="77777777" w:rsidR="00085CDB" w:rsidRPr="002E3801" w:rsidRDefault="00085CDB" w:rsidP="00085CDB">
      <w:pPr>
        <w:pStyle w:val="indentstemquestions"/>
        <w:rPr>
          <w:rFonts w:cstheme="minorHAnsi"/>
        </w:rPr>
      </w:pPr>
      <w:r w:rsidRPr="002E3801">
        <w:rPr>
          <w:rFonts w:cstheme="minorHAnsi"/>
        </w:rPr>
        <w:t>1.2.</w:t>
      </w:r>
      <w:r w:rsidRPr="002E3801">
        <w:rPr>
          <w:rFonts w:cstheme="minorHAnsi"/>
        </w:rPr>
        <w:tab/>
        <w:t>The patient and group home should be asked more details about family contact information and whether a legal guardian exists. The group home should also be asked about the patient’s expressed wishes regarding medical treatments, past responses/behaviors when ill, and any other data that might shed light on what this patient would want done in various situations.</w:t>
      </w:r>
    </w:p>
    <w:p w14:paraId="029D4E4D" w14:textId="77777777" w:rsidR="00085CDB" w:rsidRPr="002E3801" w:rsidRDefault="00085CDB" w:rsidP="00085CDB">
      <w:pPr>
        <w:pStyle w:val="indentstemquestions"/>
        <w:rPr>
          <w:rFonts w:cstheme="minorHAnsi"/>
        </w:rPr>
      </w:pPr>
      <w:r w:rsidRPr="002E3801">
        <w:rPr>
          <w:rFonts w:cstheme="minorHAnsi"/>
        </w:rPr>
        <w:t>1.3.</w:t>
      </w:r>
      <w:r w:rsidRPr="002E3801">
        <w:rPr>
          <w:rFonts w:cstheme="minorHAnsi"/>
        </w:rPr>
        <w:tab/>
        <w:t>If unable to locate an appropriate family member, other person, or legal guardian, the hospital legal department should be contacted.</w:t>
      </w:r>
    </w:p>
    <w:p w14:paraId="67D185A9" w14:textId="77777777" w:rsidR="00085CDB" w:rsidRPr="002E3801" w:rsidRDefault="00085CDB" w:rsidP="00085CDB">
      <w:pPr>
        <w:pStyle w:val="indentstemquestions"/>
        <w:rPr>
          <w:rFonts w:cstheme="minorHAnsi"/>
        </w:rPr>
      </w:pPr>
      <w:r w:rsidRPr="002E3801">
        <w:rPr>
          <w:rFonts w:cstheme="minorHAnsi"/>
        </w:rPr>
        <w:t>1.4.</w:t>
      </w:r>
      <w:r w:rsidRPr="002E3801">
        <w:rPr>
          <w:rFonts w:cstheme="minorHAnsi"/>
        </w:rPr>
        <w:tab/>
        <w:t>Court-appointed guardianship is generally too slow to assist this patient, so alternatives that are appropriate, depending on state laws, should be sought (e.g., institutional administrator, treatment review panel).</w:t>
      </w:r>
    </w:p>
    <w:p w14:paraId="0101D16D" w14:textId="6C018C3F" w:rsidR="00C6326B" w:rsidRPr="002E3801" w:rsidRDefault="00085CDB" w:rsidP="00085CDB">
      <w:pPr>
        <w:pStyle w:val="indentstemquestions"/>
        <w:rPr>
          <w:rFonts w:cstheme="minorHAnsi"/>
        </w:rPr>
      </w:pPr>
      <w:r w:rsidRPr="002E3801">
        <w:rPr>
          <w:rFonts w:cstheme="minorHAnsi"/>
        </w:rPr>
        <w:t>1.5.</w:t>
      </w:r>
      <w:r w:rsidRPr="002E3801">
        <w:rPr>
          <w:rFonts w:cstheme="minorHAnsi"/>
        </w:rPr>
        <w:tab/>
        <w:t>If the surgery is emergently indicated and taking time to sort out who should be the surrogate decision maker risks serious harm to the patient, then the surgery may proceed without obtaining consent.</w:t>
      </w:r>
    </w:p>
    <w:p w14:paraId="526C69E1" w14:textId="77777777" w:rsidR="00085CDB" w:rsidRPr="002E3801" w:rsidRDefault="00085CDB" w:rsidP="00085CDB">
      <w:pPr>
        <w:pStyle w:val="indentstemquestions"/>
        <w:rPr>
          <w:rFonts w:cstheme="minorHAnsi"/>
        </w:rPr>
      </w:pPr>
    </w:p>
    <w:p w14:paraId="3DCBF0FB"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53E8915E" w14:textId="77777777" w:rsidR="00C6326B" w:rsidRPr="002E3801" w:rsidRDefault="00C6326B" w:rsidP="00AA4E58">
      <w:pPr>
        <w:rPr>
          <w:rFonts w:cstheme="minorHAnsi"/>
        </w:rPr>
      </w:pPr>
      <w:r w:rsidRPr="002E3801">
        <w:rPr>
          <w:rFonts w:cstheme="minorHAnsi"/>
        </w:rPr>
        <w:t>Essential:</w:t>
      </w:r>
      <w:r w:rsidRPr="002E3801">
        <w:rPr>
          <w:rFonts w:cstheme="minorHAnsi"/>
        </w:rPr>
        <w:tab/>
        <w:t>First through third items</w:t>
      </w:r>
      <w:r w:rsidRPr="002E3801">
        <w:rPr>
          <w:rFonts w:cstheme="minorHAnsi"/>
        </w:rPr>
        <w:tab/>
        <w:t>_____</w:t>
      </w:r>
    </w:p>
    <w:p w14:paraId="1C1DB3B1" w14:textId="77777777"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2/5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3A836066"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3</w:t>
      </w:r>
      <w:r w:rsidR="001D3B82" w:rsidRPr="002E3801">
        <w:rPr>
          <w:rFonts w:cstheme="minorHAnsi"/>
        </w:rPr>
        <w:t>–</w:t>
      </w:r>
      <w:r w:rsidRPr="002E3801">
        <w:rPr>
          <w:rFonts w:cstheme="minorHAnsi"/>
        </w:rPr>
        <w:t>4/5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D15ED63" w14:textId="77777777" w:rsidR="00C6326B" w:rsidRPr="002E3801" w:rsidRDefault="00C6326B" w:rsidP="00AA4E58">
      <w:pPr>
        <w:rPr>
          <w:rFonts w:cstheme="minorHAnsi"/>
        </w:rPr>
      </w:pPr>
      <w:r w:rsidRPr="002E3801">
        <w:rPr>
          <w:rFonts w:cstheme="minorHAnsi"/>
        </w:rPr>
        <w:t>Exceptional:</w:t>
      </w:r>
      <w:r w:rsidRPr="002E3801">
        <w:rPr>
          <w:rFonts w:cstheme="minorHAnsi"/>
        </w:rPr>
        <w:tab/>
        <w:t>5/5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D40E1FB" w14:textId="77777777" w:rsidR="00C6326B" w:rsidRPr="002E3801" w:rsidRDefault="00C6326B" w:rsidP="00AA4E58">
      <w:pPr>
        <w:rPr>
          <w:rFonts w:cstheme="minorHAnsi"/>
        </w:rPr>
      </w:pPr>
    </w:p>
    <w:p w14:paraId="2D2A2D0E" w14:textId="77777777" w:rsidR="00135735" w:rsidRPr="00D85F4D" w:rsidRDefault="00135735">
      <w:pPr>
        <w:spacing w:after="200" w:line="276" w:lineRule="auto"/>
        <w:rPr>
          <w:rFonts w:eastAsia="Times New Roman" w:cstheme="minorHAnsi"/>
          <w:b/>
          <w:bCs/>
          <w:i/>
          <w:caps/>
          <w:color w:val="4F81BD"/>
          <w:szCs w:val="26"/>
        </w:rPr>
      </w:pPr>
      <w:r w:rsidRPr="002E3801">
        <w:rPr>
          <w:rFonts w:cstheme="minorHAnsi"/>
        </w:rPr>
        <w:br w:type="page"/>
      </w:r>
    </w:p>
    <w:p w14:paraId="460F47E1"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Continuation of Vignette</w:t>
      </w:r>
    </w:p>
    <w:p w14:paraId="53455BC1" w14:textId="77777777" w:rsidR="00C6326B" w:rsidRPr="002E3801" w:rsidRDefault="00C6326B" w:rsidP="00AA4E58">
      <w:pPr>
        <w:rPr>
          <w:rFonts w:cstheme="minorHAnsi"/>
        </w:rPr>
      </w:pPr>
    </w:p>
    <w:p w14:paraId="1CFF53D0" w14:textId="4D8B699A" w:rsidR="00456F89" w:rsidRPr="00D85F4D" w:rsidRDefault="00456F89" w:rsidP="00456F89">
      <w:pPr>
        <w:rPr>
          <w:rFonts w:eastAsia="Calibri" w:cstheme="minorHAnsi"/>
        </w:rPr>
      </w:pPr>
      <w:r w:rsidRPr="00D85F4D">
        <w:rPr>
          <w:rFonts w:eastAsia="Calibri" w:cstheme="minorHAnsi"/>
        </w:rPr>
        <w:t>The patient successfully undergoes surgery and is felt to be recovering well post-operatively. However, on post-op day two, he begins to become agitated, hitting his head against the wall, pulling out his IV, and refusing to cooperate with nursing care. He is given two doses of Haldol 10 mg IM then placed in physical restraints when he remains agitated.</w:t>
      </w:r>
    </w:p>
    <w:p w14:paraId="2608F448" w14:textId="77777777" w:rsidR="008E539C" w:rsidRPr="002E3801" w:rsidRDefault="008E539C" w:rsidP="00AA4E58">
      <w:pPr>
        <w:rPr>
          <w:rFonts w:cstheme="minorHAnsi"/>
        </w:rPr>
      </w:pPr>
    </w:p>
    <w:p w14:paraId="1D1DCE3A" w14:textId="77777777" w:rsidR="003357C0" w:rsidRPr="002E3801" w:rsidRDefault="003357C0" w:rsidP="00AA4E58">
      <w:pPr>
        <w:rPr>
          <w:rFonts w:cstheme="minorHAnsi"/>
        </w:rPr>
      </w:pPr>
    </w:p>
    <w:p w14:paraId="40903843"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Systems-Based Practice</w:t>
      </w:r>
    </w:p>
    <w:p w14:paraId="77CB2E77" w14:textId="6D4724C0" w:rsidR="00C6326B" w:rsidRPr="00D85F4D" w:rsidRDefault="00C6326B" w:rsidP="00E34E08">
      <w:pPr>
        <w:pStyle w:val="Heading3"/>
        <w:rPr>
          <w:rFonts w:asciiTheme="minorHAnsi" w:hAnsiTheme="minorHAnsi" w:cstheme="minorHAnsi"/>
        </w:rPr>
      </w:pPr>
      <w:r w:rsidRPr="00D85F4D">
        <w:rPr>
          <w:rFonts w:asciiTheme="minorHAnsi" w:hAnsiTheme="minorHAnsi" w:cstheme="minorHAnsi"/>
        </w:rPr>
        <w:t>2.</w:t>
      </w:r>
      <w:r w:rsidR="005C2302" w:rsidRPr="00D85F4D">
        <w:rPr>
          <w:rFonts w:asciiTheme="minorHAnsi" w:hAnsiTheme="minorHAnsi" w:cstheme="minorHAnsi"/>
        </w:rPr>
        <w:tab/>
      </w:r>
      <w:r w:rsidR="006C620C" w:rsidRPr="00D85F4D">
        <w:rPr>
          <w:rFonts w:asciiTheme="minorHAnsi" w:hAnsiTheme="minorHAnsi" w:cstheme="minorHAnsi"/>
        </w:rPr>
        <w:t>What are the clinical, administrative, and legal differences between physical restraints used for medical purposes compared to those used for psychiatric purposes? For what reasons are physical restraints used in the medical setting? For what reasons are they used for psychiatric purposes?</w:t>
      </w:r>
    </w:p>
    <w:p w14:paraId="48C27A0D" w14:textId="77777777" w:rsidR="00C6326B" w:rsidRPr="002E3801" w:rsidRDefault="00C6326B" w:rsidP="00AA4E58">
      <w:pPr>
        <w:rPr>
          <w:rFonts w:cstheme="minorHAnsi"/>
        </w:rPr>
      </w:pPr>
    </w:p>
    <w:p w14:paraId="6029BC14" w14:textId="77777777" w:rsidR="00C634D4" w:rsidRPr="00D85F4D" w:rsidRDefault="00C634D4" w:rsidP="00C634D4">
      <w:pPr>
        <w:ind w:left="907" w:hanging="547"/>
        <w:rPr>
          <w:rFonts w:eastAsia="Calibri" w:cstheme="minorHAnsi"/>
        </w:rPr>
      </w:pPr>
      <w:r w:rsidRPr="00D85F4D">
        <w:rPr>
          <w:rFonts w:eastAsia="Calibri" w:cstheme="minorHAnsi"/>
        </w:rPr>
        <w:t>2.1.</w:t>
      </w:r>
      <w:r w:rsidRPr="00D85F4D">
        <w:rPr>
          <w:rFonts w:eastAsia="Calibri" w:cstheme="minorHAnsi"/>
        </w:rPr>
        <w:tab/>
        <w:t>The Joint Commission (JC, formerly known as JCAHO) and the Centers for Medicare and Medicaid Services (CMS) have developed guidelines for use of physical restraints in medical settings. In medical settings, restraints may be used to prevent interference with treatment, and restraints are frequently used for this purpose, especially in ICU settings.</w:t>
      </w:r>
    </w:p>
    <w:p w14:paraId="3C212C13" w14:textId="5AB74D8A" w:rsidR="00C634D4" w:rsidRPr="00D85F4D" w:rsidRDefault="00C634D4" w:rsidP="00C634D4">
      <w:pPr>
        <w:ind w:left="907" w:hanging="547"/>
        <w:rPr>
          <w:rFonts w:eastAsia="Calibri" w:cstheme="minorHAnsi"/>
        </w:rPr>
      </w:pPr>
      <w:r w:rsidRPr="00D85F4D">
        <w:rPr>
          <w:rFonts w:eastAsia="Calibri" w:cstheme="minorHAnsi"/>
        </w:rPr>
        <w:t>2.2.</w:t>
      </w:r>
      <w:r w:rsidRPr="00D85F4D">
        <w:rPr>
          <w:rFonts w:eastAsia="Calibri" w:cstheme="minorHAnsi"/>
        </w:rPr>
        <w:tab/>
        <w:t>In medical settings, physical restraints may be used when a patient is at risk for injury or interference with medical treatment necessary to promote medical healing. Examples include preventing a patient from pulling out lines, tubes, or drains.</w:t>
      </w:r>
    </w:p>
    <w:p w14:paraId="5FA4A274" w14:textId="77777777" w:rsidR="00C634D4" w:rsidRPr="00D85F4D" w:rsidRDefault="00C634D4" w:rsidP="00C634D4">
      <w:pPr>
        <w:ind w:left="907" w:hanging="547"/>
        <w:rPr>
          <w:rFonts w:eastAsia="Calibri" w:cstheme="minorHAnsi"/>
        </w:rPr>
      </w:pPr>
      <w:r w:rsidRPr="00D85F4D">
        <w:rPr>
          <w:rFonts w:eastAsia="Calibri" w:cstheme="minorHAnsi"/>
        </w:rPr>
        <w:t>2.3.</w:t>
      </w:r>
      <w:r w:rsidRPr="00D85F4D">
        <w:rPr>
          <w:rFonts w:eastAsia="Calibri" w:cstheme="minorHAnsi"/>
        </w:rPr>
        <w:tab/>
        <w:t xml:space="preserve">In general, the decision about whether to use physical restraints should be determined by what is required to provide necessary medical treatment; the rationale for using restraints should be documented in the medical record. </w:t>
      </w:r>
    </w:p>
    <w:p w14:paraId="49F915E8" w14:textId="77777777" w:rsidR="00C634D4" w:rsidRPr="00D85F4D" w:rsidRDefault="00C634D4" w:rsidP="00C634D4">
      <w:pPr>
        <w:ind w:left="907" w:hanging="547"/>
        <w:rPr>
          <w:rFonts w:eastAsia="Calibri" w:cstheme="minorHAnsi"/>
        </w:rPr>
      </w:pPr>
      <w:r w:rsidRPr="00D85F4D">
        <w:rPr>
          <w:rFonts w:eastAsia="Calibri" w:cstheme="minorHAnsi"/>
        </w:rPr>
        <w:t>2.4.</w:t>
      </w:r>
      <w:r w:rsidRPr="00D85F4D">
        <w:rPr>
          <w:rFonts w:eastAsia="Calibri" w:cstheme="minorHAnsi"/>
        </w:rPr>
        <w:tab/>
        <w:t>Compared to physical restraints in medical settings, the use of restraints in psychiatric settings is more limited and many psychiatric facilities have adopted no-restraint policies.</w:t>
      </w:r>
    </w:p>
    <w:p w14:paraId="73CA2FFB" w14:textId="77777777" w:rsidR="00C634D4" w:rsidRPr="00D85F4D" w:rsidRDefault="00C634D4" w:rsidP="00C634D4">
      <w:pPr>
        <w:ind w:left="907" w:hanging="547"/>
        <w:rPr>
          <w:rFonts w:eastAsia="Calibri" w:cstheme="minorHAnsi"/>
        </w:rPr>
      </w:pPr>
      <w:r w:rsidRPr="00D85F4D">
        <w:rPr>
          <w:rFonts w:eastAsia="Calibri" w:cstheme="minorHAnsi"/>
        </w:rPr>
        <w:t>2.5.</w:t>
      </w:r>
      <w:r w:rsidRPr="00D85F4D">
        <w:rPr>
          <w:rFonts w:eastAsia="Calibri" w:cstheme="minorHAnsi"/>
        </w:rPr>
        <w:tab/>
        <w:t xml:space="preserve">Behavioral restraints represent an emergency measure reserved for situations where other less-restrictive alternatives have failed to prevent imminent harm to the patient or to others due to the patient’s symptoms (i.e., severely aggressive, violent, self-destructive behaviors) of mental illness. </w:t>
      </w:r>
    </w:p>
    <w:p w14:paraId="7A5FF528" w14:textId="77777777" w:rsidR="00C6326B" w:rsidRPr="002E3801" w:rsidRDefault="00C6326B" w:rsidP="00AA4E58">
      <w:pPr>
        <w:rPr>
          <w:rFonts w:cstheme="minorHAnsi"/>
        </w:rPr>
      </w:pPr>
    </w:p>
    <w:p w14:paraId="4E4CE8A8"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778648DF" w14:textId="77777777" w:rsidR="00C6326B" w:rsidRPr="002E3801" w:rsidRDefault="00C6326B" w:rsidP="00AA4E58">
      <w:pPr>
        <w:rPr>
          <w:rFonts w:cstheme="minorHAnsi"/>
        </w:rPr>
      </w:pPr>
      <w:r w:rsidRPr="002E3801">
        <w:rPr>
          <w:rFonts w:cstheme="minorHAnsi"/>
        </w:rPr>
        <w:t>Essential</w:t>
      </w:r>
      <w:r w:rsidR="00692CA2" w:rsidRPr="002E3801">
        <w:rPr>
          <w:rFonts w:cstheme="minorHAnsi"/>
        </w:rPr>
        <w:t>:</w:t>
      </w:r>
      <w:r w:rsidR="00692CA2" w:rsidRPr="002E3801">
        <w:rPr>
          <w:rFonts w:cstheme="minorHAnsi"/>
        </w:rPr>
        <w:tab/>
        <w:t>Second and fourth item</w:t>
      </w:r>
      <w:r w:rsidR="00692CA2" w:rsidRPr="002E3801">
        <w:rPr>
          <w:rFonts w:cstheme="minorHAnsi"/>
        </w:rPr>
        <w:tab/>
      </w:r>
      <w:r w:rsidR="00692CA2" w:rsidRPr="002E3801">
        <w:rPr>
          <w:rFonts w:cstheme="minorHAnsi"/>
        </w:rPr>
        <w:tab/>
        <w:t>_____</w:t>
      </w:r>
    </w:p>
    <w:p w14:paraId="75A69D07" w14:textId="77777777"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2/5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3E305DD"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3</w:t>
      </w:r>
      <w:r w:rsidR="001D3B82" w:rsidRPr="002E3801">
        <w:rPr>
          <w:rFonts w:cstheme="minorHAnsi"/>
        </w:rPr>
        <w:t>–</w:t>
      </w:r>
      <w:r w:rsidRPr="002E3801">
        <w:rPr>
          <w:rFonts w:cstheme="minorHAnsi"/>
        </w:rPr>
        <w:t>4/5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764AD8E" w14:textId="77777777" w:rsidR="00C6326B" w:rsidRPr="002E3801" w:rsidRDefault="00C6326B" w:rsidP="00AA4E58">
      <w:pPr>
        <w:rPr>
          <w:rFonts w:cstheme="minorHAnsi"/>
        </w:rPr>
      </w:pPr>
      <w:r w:rsidRPr="002E3801">
        <w:rPr>
          <w:rFonts w:cstheme="minorHAnsi"/>
        </w:rPr>
        <w:t>Exceptional:</w:t>
      </w:r>
      <w:r w:rsidRPr="002E3801">
        <w:rPr>
          <w:rFonts w:cstheme="minorHAnsi"/>
        </w:rPr>
        <w:tab/>
        <w:t>5/5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3C62D1E4" w14:textId="77777777" w:rsidR="00C6326B" w:rsidRPr="002E3801" w:rsidRDefault="00C6326B" w:rsidP="00AA4E58">
      <w:pPr>
        <w:rPr>
          <w:rFonts w:cstheme="minorHAnsi"/>
        </w:rPr>
      </w:pPr>
    </w:p>
    <w:p w14:paraId="361ADF3C"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7B1C1926" w14:textId="77777777" w:rsidR="00345CE0" w:rsidRDefault="00345CE0" w:rsidP="00AA4E58">
      <w:pPr>
        <w:rPr>
          <w:rFonts w:cstheme="minorHAnsi"/>
        </w:rPr>
      </w:pPr>
    </w:p>
    <w:p w14:paraId="251A8BC8" w14:textId="77777777" w:rsidR="00585B15" w:rsidRPr="002E3801" w:rsidRDefault="00585B15" w:rsidP="00AA4E58">
      <w:pPr>
        <w:rPr>
          <w:rFonts w:cstheme="minorHAnsi"/>
        </w:rPr>
      </w:pPr>
    </w:p>
    <w:p w14:paraId="46D97D1D" w14:textId="77777777" w:rsidR="00345CE0" w:rsidRPr="002E3801" w:rsidRDefault="00345CE0" w:rsidP="00AA4E58">
      <w:pPr>
        <w:rPr>
          <w:rFonts w:cstheme="minorHAnsi"/>
        </w:rPr>
      </w:pPr>
    </w:p>
    <w:p w14:paraId="719651C5" w14:textId="77777777" w:rsidR="00345CE0" w:rsidRPr="002E3801" w:rsidRDefault="00345CE0" w:rsidP="00AA4E58">
      <w:pPr>
        <w:rPr>
          <w:rFonts w:cstheme="minorHAnsi"/>
        </w:rPr>
      </w:pPr>
    </w:p>
    <w:p w14:paraId="2B0A731F" w14:textId="77777777" w:rsidR="00663F21" w:rsidRPr="002E3801" w:rsidRDefault="00663F21" w:rsidP="00AA4E58">
      <w:pPr>
        <w:rPr>
          <w:rFonts w:cstheme="minorHAnsi"/>
        </w:rPr>
      </w:pPr>
    </w:p>
    <w:p w14:paraId="55A0E4CD" w14:textId="77777777" w:rsidR="00663F21" w:rsidRPr="002E3801" w:rsidRDefault="00663F21" w:rsidP="00AA4E58">
      <w:pPr>
        <w:rPr>
          <w:rFonts w:cstheme="minorHAnsi"/>
        </w:rPr>
      </w:pPr>
    </w:p>
    <w:p w14:paraId="1303286F" w14:textId="77777777" w:rsidR="00663F21" w:rsidRPr="002E3801" w:rsidRDefault="00663F21" w:rsidP="00AA4E58">
      <w:pPr>
        <w:rPr>
          <w:rFonts w:cstheme="minorHAnsi"/>
        </w:rPr>
      </w:pPr>
    </w:p>
    <w:p w14:paraId="045F86E8" w14:textId="77777777" w:rsidR="008E539C" w:rsidRPr="002E3801" w:rsidRDefault="008E539C" w:rsidP="00AA4E58">
      <w:pPr>
        <w:rPr>
          <w:rFonts w:cstheme="minorHAnsi"/>
        </w:rPr>
      </w:pPr>
    </w:p>
    <w:p w14:paraId="5FC73797" w14:textId="77777777" w:rsidR="008E539C" w:rsidRPr="002E3801" w:rsidRDefault="008E539C" w:rsidP="00AA4E58">
      <w:pPr>
        <w:rPr>
          <w:rFonts w:cstheme="minorHAnsi"/>
        </w:rPr>
      </w:pPr>
    </w:p>
    <w:p w14:paraId="0B45DE2D"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References</w:t>
      </w:r>
    </w:p>
    <w:p w14:paraId="26E9C563" w14:textId="77777777" w:rsidR="003357C0" w:rsidRPr="002E3801" w:rsidRDefault="003357C0" w:rsidP="003357C0">
      <w:pPr>
        <w:pStyle w:val="Heading1"/>
        <w:rPr>
          <w:rFonts w:asciiTheme="minorHAnsi" w:eastAsiaTheme="minorHAnsi" w:hAnsiTheme="minorHAnsi" w:cstheme="minorHAnsi"/>
          <w:b w:val="0"/>
          <w:caps w:val="0"/>
          <w:color w:val="auto"/>
          <w:sz w:val="22"/>
          <w:szCs w:val="22"/>
        </w:rPr>
      </w:pPr>
      <w:bookmarkStart w:id="30" w:name="_Toc235221567"/>
      <w:r w:rsidRPr="002E3801">
        <w:rPr>
          <w:rFonts w:asciiTheme="minorHAnsi" w:eastAsiaTheme="minorHAnsi" w:hAnsiTheme="minorHAnsi" w:cstheme="minorHAnsi"/>
          <w:b w:val="0"/>
          <w:caps w:val="0"/>
          <w:color w:val="auto"/>
          <w:sz w:val="22"/>
          <w:szCs w:val="22"/>
        </w:rPr>
        <w:t>https://www.cms.gov/medicare/regulations-guidance/manuals</w:t>
      </w:r>
      <w:bookmarkEnd w:id="30"/>
    </w:p>
    <w:p w14:paraId="714640BA" w14:textId="77777777" w:rsidR="003357C0" w:rsidRPr="002E3801" w:rsidRDefault="003357C0" w:rsidP="003357C0">
      <w:pPr>
        <w:pStyle w:val="Heading1"/>
        <w:rPr>
          <w:rFonts w:asciiTheme="minorHAnsi" w:eastAsiaTheme="minorHAnsi" w:hAnsiTheme="minorHAnsi" w:cstheme="minorHAnsi"/>
          <w:b w:val="0"/>
          <w:caps w:val="0"/>
          <w:color w:val="auto"/>
          <w:sz w:val="22"/>
          <w:szCs w:val="22"/>
        </w:rPr>
      </w:pPr>
    </w:p>
    <w:p w14:paraId="2F2E10A3" w14:textId="77777777" w:rsidR="003357C0" w:rsidRPr="002E3801" w:rsidRDefault="003357C0" w:rsidP="003357C0">
      <w:pPr>
        <w:pStyle w:val="Heading1"/>
        <w:rPr>
          <w:rFonts w:asciiTheme="minorHAnsi" w:eastAsiaTheme="minorHAnsi" w:hAnsiTheme="minorHAnsi" w:cstheme="minorHAnsi"/>
          <w:b w:val="0"/>
          <w:caps w:val="0"/>
          <w:color w:val="auto"/>
          <w:sz w:val="22"/>
          <w:szCs w:val="22"/>
        </w:rPr>
      </w:pPr>
      <w:bookmarkStart w:id="31" w:name="_Toc235221568"/>
      <w:r w:rsidRPr="002E3801">
        <w:rPr>
          <w:rFonts w:asciiTheme="minorHAnsi" w:eastAsiaTheme="minorHAnsi" w:hAnsiTheme="minorHAnsi" w:cstheme="minorHAnsi"/>
          <w:b w:val="0"/>
          <w:caps w:val="0"/>
          <w:color w:val="auto"/>
          <w:sz w:val="22"/>
          <w:szCs w:val="22"/>
        </w:rPr>
        <w:t xml:space="preserve">Baldino G, Messina A, Asmundo A, Genovese G, Genovese C, Ventura Spagnolo E, Tarzia P. Investigation on physical restraint use in hospital: health responsibility, ethical and medical legal considerations. </w:t>
      </w:r>
      <w:r w:rsidRPr="002E3801">
        <w:rPr>
          <w:rFonts w:asciiTheme="minorHAnsi" w:eastAsiaTheme="minorHAnsi" w:hAnsiTheme="minorHAnsi" w:cstheme="minorHAnsi"/>
          <w:b w:val="0"/>
          <w:i/>
          <w:iCs/>
          <w:caps w:val="0"/>
          <w:color w:val="auto"/>
          <w:sz w:val="22"/>
          <w:szCs w:val="22"/>
        </w:rPr>
        <w:t>Clin Ter</w:t>
      </w:r>
      <w:r w:rsidRPr="002E3801">
        <w:rPr>
          <w:rFonts w:asciiTheme="minorHAnsi" w:eastAsiaTheme="minorHAnsi" w:hAnsiTheme="minorHAnsi" w:cstheme="minorHAnsi"/>
          <w:b w:val="0"/>
          <w:caps w:val="0"/>
          <w:color w:val="auto"/>
          <w:sz w:val="22"/>
          <w:szCs w:val="22"/>
        </w:rPr>
        <w:t xml:space="preserve">. 2024 Jul-Aug;175(Suppl 2(4)):153-157. </w:t>
      </w:r>
      <w:proofErr w:type="spellStart"/>
      <w:r w:rsidRPr="002E3801">
        <w:rPr>
          <w:rFonts w:asciiTheme="minorHAnsi" w:eastAsiaTheme="minorHAnsi" w:hAnsiTheme="minorHAnsi" w:cstheme="minorHAnsi"/>
          <w:b w:val="0"/>
          <w:caps w:val="0"/>
          <w:color w:val="auto"/>
          <w:sz w:val="22"/>
          <w:szCs w:val="22"/>
        </w:rPr>
        <w:t>doi</w:t>
      </w:r>
      <w:proofErr w:type="spellEnd"/>
      <w:r w:rsidRPr="002E3801">
        <w:rPr>
          <w:rFonts w:asciiTheme="minorHAnsi" w:eastAsiaTheme="minorHAnsi" w:hAnsiTheme="minorHAnsi" w:cstheme="minorHAnsi"/>
          <w:b w:val="0"/>
          <w:caps w:val="0"/>
          <w:color w:val="auto"/>
          <w:sz w:val="22"/>
          <w:szCs w:val="22"/>
        </w:rPr>
        <w:t>: 10.7417/CT.2024.5105. PMID: 39101415.</w:t>
      </w:r>
      <w:bookmarkEnd w:id="31"/>
    </w:p>
    <w:p w14:paraId="15411ACE" w14:textId="77777777" w:rsidR="003357C0" w:rsidRPr="002E3801" w:rsidRDefault="003357C0" w:rsidP="003357C0">
      <w:pPr>
        <w:pStyle w:val="Heading1"/>
        <w:rPr>
          <w:rFonts w:asciiTheme="minorHAnsi" w:eastAsiaTheme="minorHAnsi" w:hAnsiTheme="minorHAnsi" w:cstheme="minorHAnsi"/>
          <w:b w:val="0"/>
          <w:caps w:val="0"/>
          <w:color w:val="auto"/>
          <w:sz w:val="22"/>
          <w:szCs w:val="22"/>
        </w:rPr>
      </w:pPr>
      <w:bookmarkStart w:id="32" w:name="_Toc235221569"/>
      <w:r w:rsidRPr="002E3801">
        <w:rPr>
          <w:rFonts w:asciiTheme="minorHAnsi" w:eastAsiaTheme="minorHAnsi" w:hAnsiTheme="minorHAnsi" w:cstheme="minorHAnsi"/>
          <w:b w:val="0"/>
          <w:caps w:val="0"/>
          <w:color w:val="auto"/>
          <w:sz w:val="22"/>
          <w:szCs w:val="22"/>
        </w:rPr>
        <w:t>Copy</w:t>
      </w:r>
      <w:bookmarkEnd w:id="32"/>
    </w:p>
    <w:p w14:paraId="7DADFF4A" w14:textId="77777777" w:rsidR="003357C0" w:rsidRPr="002E3801" w:rsidRDefault="003357C0" w:rsidP="003357C0">
      <w:pPr>
        <w:pStyle w:val="Heading1"/>
        <w:rPr>
          <w:rFonts w:asciiTheme="minorHAnsi" w:eastAsiaTheme="minorHAnsi" w:hAnsiTheme="minorHAnsi" w:cstheme="minorHAnsi"/>
          <w:b w:val="0"/>
          <w:caps w:val="0"/>
          <w:color w:val="auto"/>
          <w:sz w:val="22"/>
          <w:szCs w:val="22"/>
        </w:rPr>
      </w:pPr>
    </w:p>
    <w:p w14:paraId="1727AB67" w14:textId="77777777" w:rsidR="003357C0" w:rsidRPr="002E3801" w:rsidRDefault="003357C0" w:rsidP="003357C0">
      <w:pPr>
        <w:pStyle w:val="Heading1"/>
        <w:rPr>
          <w:rFonts w:asciiTheme="minorHAnsi" w:eastAsiaTheme="minorHAnsi" w:hAnsiTheme="minorHAnsi" w:cstheme="minorHAnsi"/>
          <w:b w:val="0"/>
          <w:caps w:val="0"/>
          <w:color w:val="auto"/>
          <w:sz w:val="22"/>
          <w:szCs w:val="22"/>
        </w:rPr>
      </w:pPr>
      <w:bookmarkStart w:id="33" w:name="_Toc235221570"/>
      <w:r w:rsidRPr="002E3801">
        <w:rPr>
          <w:rFonts w:asciiTheme="minorHAnsi" w:eastAsiaTheme="minorHAnsi" w:hAnsiTheme="minorHAnsi" w:cstheme="minorHAnsi"/>
          <w:b w:val="0"/>
          <w:caps w:val="0"/>
          <w:color w:val="auto"/>
          <w:sz w:val="22"/>
          <w:szCs w:val="22"/>
        </w:rPr>
        <w:t>Levenson JL. Legal and Ethical Issues. In: Levenson JL, ed. The American Psychiatric Association Publishing Textbook of Psychosomatic Medicine and Consultation-Liaison Psychiatry. 3rd ed. American Psychiatric Association Publishing; 2019: 17–34.</w:t>
      </w:r>
      <w:bookmarkEnd w:id="33"/>
    </w:p>
    <w:sectPr w:rsidR="00C6326B" w:rsidRPr="002E3801" w:rsidSect="003E73D7">
      <w:headerReference w:type="default" r:id="rId28"/>
      <w:footerReference w:type="default" r:id="rId29"/>
      <w:headerReference w:type="first" r:id="rId30"/>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03D3" w14:textId="77777777" w:rsidR="00FF59D9" w:rsidRDefault="00FF59D9" w:rsidP="00B87151">
      <w:r>
        <w:separator/>
      </w:r>
    </w:p>
    <w:p w14:paraId="05EA9EA1" w14:textId="77777777" w:rsidR="00FF59D9" w:rsidRDefault="00FF59D9" w:rsidP="00B87151"/>
  </w:endnote>
  <w:endnote w:type="continuationSeparator" w:id="0">
    <w:p w14:paraId="2F83AA97" w14:textId="77777777" w:rsidR="00FF59D9" w:rsidRDefault="00FF59D9" w:rsidP="00B87151">
      <w:r>
        <w:continuationSeparator/>
      </w:r>
    </w:p>
    <w:p w14:paraId="69342BE9" w14:textId="77777777" w:rsidR="00FF59D9" w:rsidRDefault="00FF59D9"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4D5C8" w14:textId="77777777" w:rsidR="00FF59D9" w:rsidRDefault="00FF59D9" w:rsidP="00B87151">
      <w:r>
        <w:separator/>
      </w:r>
    </w:p>
    <w:p w14:paraId="36DA0F28" w14:textId="77777777" w:rsidR="00FF59D9" w:rsidRDefault="00FF59D9" w:rsidP="00B87151"/>
  </w:footnote>
  <w:footnote w:type="continuationSeparator" w:id="0">
    <w:p w14:paraId="7A86219D" w14:textId="77777777" w:rsidR="00FF59D9" w:rsidRDefault="00FF59D9" w:rsidP="00B87151">
      <w:r>
        <w:continuationSeparator/>
      </w:r>
    </w:p>
    <w:p w14:paraId="06C482BE" w14:textId="77777777" w:rsidR="00FF59D9" w:rsidRDefault="00FF59D9"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0CEE"/>
    <w:rsid w:val="0000196E"/>
    <w:rsid w:val="0000282F"/>
    <w:rsid w:val="000058B0"/>
    <w:rsid w:val="00005DC9"/>
    <w:rsid w:val="00006B9E"/>
    <w:rsid w:val="000111AA"/>
    <w:rsid w:val="00013746"/>
    <w:rsid w:val="0001468D"/>
    <w:rsid w:val="00014AF3"/>
    <w:rsid w:val="000153B9"/>
    <w:rsid w:val="00016799"/>
    <w:rsid w:val="0001789D"/>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7401"/>
    <w:rsid w:val="00057CE1"/>
    <w:rsid w:val="00062EF0"/>
    <w:rsid w:val="00063332"/>
    <w:rsid w:val="0006734B"/>
    <w:rsid w:val="000679AC"/>
    <w:rsid w:val="00071B5D"/>
    <w:rsid w:val="000723B6"/>
    <w:rsid w:val="00072A28"/>
    <w:rsid w:val="00075AA9"/>
    <w:rsid w:val="00076275"/>
    <w:rsid w:val="00077971"/>
    <w:rsid w:val="00077A1B"/>
    <w:rsid w:val="00080637"/>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4CAA"/>
    <w:rsid w:val="00107869"/>
    <w:rsid w:val="0011394B"/>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2CCD"/>
    <w:rsid w:val="00160D1F"/>
    <w:rsid w:val="00161088"/>
    <w:rsid w:val="00161182"/>
    <w:rsid w:val="00161A73"/>
    <w:rsid w:val="00165136"/>
    <w:rsid w:val="00174BA6"/>
    <w:rsid w:val="00174ED9"/>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3AA6"/>
    <w:rsid w:val="001B3B21"/>
    <w:rsid w:val="001B5271"/>
    <w:rsid w:val="001B6756"/>
    <w:rsid w:val="001B7DA7"/>
    <w:rsid w:val="001C080C"/>
    <w:rsid w:val="001C124E"/>
    <w:rsid w:val="001C1635"/>
    <w:rsid w:val="001C1B18"/>
    <w:rsid w:val="001C2951"/>
    <w:rsid w:val="001C4B80"/>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146CD"/>
    <w:rsid w:val="00315FCC"/>
    <w:rsid w:val="00316F3F"/>
    <w:rsid w:val="00324F03"/>
    <w:rsid w:val="00325041"/>
    <w:rsid w:val="003255AF"/>
    <w:rsid w:val="00327946"/>
    <w:rsid w:val="003357C0"/>
    <w:rsid w:val="003427A9"/>
    <w:rsid w:val="00343B1D"/>
    <w:rsid w:val="00345CE0"/>
    <w:rsid w:val="0035216C"/>
    <w:rsid w:val="00352835"/>
    <w:rsid w:val="00357211"/>
    <w:rsid w:val="003621D6"/>
    <w:rsid w:val="00362F59"/>
    <w:rsid w:val="00364949"/>
    <w:rsid w:val="0036601A"/>
    <w:rsid w:val="00375470"/>
    <w:rsid w:val="00376C50"/>
    <w:rsid w:val="003775EA"/>
    <w:rsid w:val="00382B0D"/>
    <w:rsid w:val="00383C36"/>
    <w:rsid w:val="0039144B"/>
    <w:rsid w:val="0039202B"/>
    <w:rsid w:val="00392510"/>
    <w:rsid w:val="0039650A"/>
    <w:rsid w:val="003A315B"/>
    <w:rsid w:val="003A36D5"/>
    <w:rsid w:val="003A3DAD"/>
    <w:rsid w:val="003B1910"/>
    <w:rsid w:val="003B4864"/>
    <w:rsid w:val="003B5044"/>
    <w:rsid w:val="003B678D"/>
    <w:rsid w:val="003B7B79"/>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65FB"/>
    <w:rsid w:val="00467032"/>
    <w:rsid w:val="00467FD9"/>
    <w:rsid w:val="0047009E"/>
    <w:rsid w:val="00474531"/>
    <w:rsid w:val="00474D26"/>
    <w:rsid w:val="00474EB2"/>
    <w:rsid w:val="00482A40"/>
    <w:rsid w:val="00484069"/>
    <w:rsid w:val="00485CB9"/>
    <w:rsid w:val="00491EB7"/>
    <w:rsid w:val="0049639A"/>
    <w:rsid w:val="004A7634"/>
    <w:rsid w:val="004B68B0"/>
    <w:rsid w:val="004B6F30"/>
    <w:rsid w:val="004B7B4B"/>
    <w:rsid w:val="004C0F84"/>
    <w:rsid w:val="004C2B6B"/>
    <w:rsid w:val="004C3446"/>
    <w:rsid w:val="004C5605"/>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3737"/>
    <w:rsid w:val="00524229"/>
    <w:rsid w:val="00530148"/>
    <w:rsid w:val="0053144D"/>
    <w:rsid w:val="005319C5"/>
    <w:rsid w:val="0053575F"/>
    <w:rsid w:val="00541F11"/>
    <w:rsid w:val="00543318"/>
    <w:rsid w:val="00543B4F"/>
    <w:rsid w:val="00545E58"/>
    <w:rsid w:val="00552CFC"/>
    <w:rsid w:val="0055609F"/>
    <w:rsid w:val="005617CB"/>
    <w:rsid w:val="00563094"/>
    <w:rsid w:val="00567DD7"/>
    <w:rsid w:val="0057358F"/>
    <w:rsid w:val="00580D0B"/>
    <w:rsid w:val="00580E1F"/>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5A53"/>
    <w:rsid w:val="005C5B9D"/>
    <w:rsid w:val="005C5E5E"/>
    <w:rsid w:val="005C623A"/>
    <w:rsid w:val="005C7EF0"/>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30232"/>
    <w:rsid w:val="0063227B"/>
    <w:rsid w:val="006344BB"/>
    <w:rsid w:val="006345DF"/>
    <w:rsid w:val="00634F57"/>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2AF1"/>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2458"/>
    <w:rsid w:val="0075545E"/>
    <w:rsid w:val="007576C7"/>
    <w:rsid w:val="00757CBC"/>
    <w:rsid w:val="007602BB"/>
    <w:rsid w:val="00761EB5"/>
    <w:rsid w:val="0076482F"/>
    <w:rsid w:val="0077146B"/>
    <w:rsid w:val="00774C18"/>
    <w:rsid w:val="00775712"/>
    <w:rsid w:val="007769EA"/>
    <w:rsid w:val="00782B12"/>
    <w:rsid w:val="00782CB0"/>
    <w:rsid w:val="0078622A"/>
    <w:rsid w:val="0078723B"/>
    <w:rsid w:val="00787956"/>
    <w:rsid w:val="00792048"/>
    <w:rsid w:val="00792950"/>
    <w:rsid w:val="00796F71"/>
    <w:rsid w:val="007A3E59"/>
    <w:rsid w:val="007A520F"/>
    <w:rsid w:val="007A5C14"/>
    <w:rsid w:val="007A6D3F"/>
    <w:rsid w:val="007A6F78"/>
    <w:rsid w:val="007A72FF"/>
    <w:rsid w:val="007A7757"/>
    <w:rsid w:val="007B150F"/>
    <w:rsid w:val="007B404F"/>
    <w:rsid w:val="007B4F4C"/>
    <w:rsid w:val="007C038F"/>
    <w:rsid w:val="007C0FA6"/>
    <w:rsid w:val="007C1DF8"/>
    <w:rsid w:val="007C2A99"/>
    <w:rsid w:val="007C4A2D"/>
    <w:rsid w:val="007C7C7B"/>
    <w:rsid w:val="007D1706"/>
    <w:rsid w:val="007E247E"/>
    <w:rsid w:val="007E3FFB"/>
    <w:rsid w:val="007E4846"/>
    <w:rsid w:val="007F033A"/>
    <w:rsid w:val="007F2782"/>
    <w:rsid w:val="007F487C"/>
    <w:rsid w:val="007F5BED"/>
    <w:rsid w:val="007F7922"/>
    <w:rsid w:val="007F7B90"/>
    <w:rsid w:val="00804DA9"/>
    <w:rsid w:val="00804E60"/>
    <w:rsid w:val="00805DFC"/>
    <w:rsid w:val="008071A5"/>
    <w:rsid w:val="00810620"/>
    <w:rsid w:val="0081758C"/>
    <w:rsid w:val="0082351F"/>
    <w:rsid w:val="00824EB8"/>
    <w:rsid w:val="0083314E"/>
    <w:rsid w:val="008333C7"/>
    <w:rsid w:val="0083774B"/>
    <w:rsid w:val="00837C8D"/>
    <w:rsid w:val="0084089E"/>
    <w:rsid w:val="00844174"/>
    <w:rsid w:val="008448EA"/>
    <w:rsid w:val="00844BA7"/>
    <w:rsid w:val="008522BD"/>
    <w:rsid w:val="00852A7C"/>
    <w:rsid w:val="008534B7"/>
    <w:rsid w:val="008551EA"/>
    <w:rsid w:val="00856BDB"/>
    <w:rsid w:val="008577DD"/>
    <w:rsid w:val="00861111"/>
    <w:rsid w:val="008613DC"/>
    <w:rsid w:val="00861D97"/>
    <w:rsid w:val="00863AD2"/>
    <w:rsid w:val="00864C04"/>
    <w:rsid w:val="00864DD8"/>
    <w:rsid w:val="00864FB2"/>
    <w:rsid w:val="00866236"/>
    <w:rsid w:val="0087066C"/>
    <w:rsid w:val="008715B9"/>
    <w:rsid w:val="00872359"/>
    <w:rsid w:val="00875E0C"/>
    <w:rsid w:val="008825DC"/>
    <w:rsid w:val="00893501"/>
    <w:rsid w:val="008937AF"/>
    <w:rsid w:val="00897838"/>
    <w:rsid w:val="008A1459"/>
    <w:rsid w:val="008A5698"/>
    <w:rsid w:val="008A62E5"/>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420E"/>
    <w:rsid w:val="008E539C"/>
    <w:rsid w:val="008E59CB"/>
    <w:rsid w:val="008E7A02"/>
    <w:rsid w:val="008F2742"/>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325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F21"/>
    <w:rsid w:val="00A94D3D"/>
    <w:rsid w:val="00A94E9D"/>
    <w:rsid w:val="00A966FE"/>
    <w:rsid w:val="00A97AC8"/>
    <w:rsid w:val="00AA0D5E"/>
    <w:rsid w:val="00AA1F1E"/>
    <w:rsid w:val="00AA451F"/>
    <w:rsid w:val="00AA4E58"/>
    <w:rsid w:val="00AB2363"/>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63E6"/>
    <w:rsid w:val="00AF6EFC"/>
    <w:rsid w:val="00AF7CD5"/>
    <w:rsid w:val="00B0126B"/>
    <w:rsid w:val="00B04DC5"/>
    <w:rsid w:val="00B10210"/>
    <w:rsid w:val="00B11725"/>
    <w:rsid w:val="00B1502A"/>
    <w:rsid w:val="00B17A77"/>
    <w:rsid w:val="00B20AFA"/>
    <w:rsid w:val="00B223EC"/>
    <w:rsid w:val="00B26B30"/>
    <w:rsid w:val="00B314F2"/>
    <w:rsid w:val="00B32ADF"/>
    <w:rsid w:val="00B34290"/>
    <w:rsid w:val="00B345B0"/>
    <w:rsid w:val="00B34A5F"/>
    <w:rsid w:val="00B3507C"/>
    <w:rsid w:val="00B35168"/>
    <w:rsid w:val="00B356DC"/>
    <w:rsid w:val="00B35DA0"/>
    <w:rsid w:val="00B3736B"/>
    <w:rsid w:val="00B37616"/>
    <w:rsid w:val="00B37739"/>
    <w:rsid w:val="00B500C4"/>
    <w:rsid w:val="00B500D2"/>
    <w:rsid w:val="00B545C4"/>
    <w:rsid w:val="00B555CC"/>
    <w:rsid w:val="00B56149"/>
    <w:rsid w:val="00B609B4"/>
    <w:rsid w:val="00B6386D"/>
    <w:rsid w:val="00B64B69"/>
    <w:rsid w:val="00B724E6"/>
    <w:rsid w:val="00B74C09"/>
    <w:rsid w:val="00B75758"/>
    <w:rsid w:val="00B75F91"/>
    <w:rsid w:val="00B76792"/>
    <w:rsid w:val="00B772AA"/>
    <w:rsid w:val="00B846BB"/>
    <w:rsid w:val="00B856CF"/>
    <w:rsid w:val="00B86866"/>
    <w:rsid w:val="00B87151"/>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6B5E"/>
    <w:rsid w:val="00C07E5C"/>
    <w:rsid w:val="00C145FB"/>
    <w:rsid w:val="00C17E66"/>
    <w:rsid w:val="00C21934"/>
    <w:rsid w:val="00C22217"/>
    <w:rsid w:val="00C26BCC"/>
    <w:rsid w:val="00C279A7"/>
    <w:rsid w:val="00C32EA0"/>
    <w:rsid w:val="00C33775"/>
    <w:rsid w:val="00C35170"/>
    <w:rsid w:val="00C3690A"/>
    <w:rsid w:val="00C451A2"/>
    <w:rsid w:val="00C46579"/>
    <w:rsid w:val="00C51FB9"/>
    <w:rsid w:val="00C53348"/>
    <w:rsid w:val="00C5577F"/>
    <w:rsid w:val="00C5679E"/>
    <w:rsid w:val="00C60115"/>
    <w:rsid w:val="00C605FA"/>
    <w:rsid w:val="00C60F21"/>
    <w:rsid w:val="00C63214"/>
    <w:rsid w:val="00C6326B"/>
    <w:rsid w:val="00C634D4"/>
    <w:rsid w:val="00C65AC3"/>
    <w:rsid w:val="00C70B3C"/>
    <w:rsid w:val="00C742C0"/>
    <w:rsid w:val="00C74B99"/>
    <w:rsid w:val="00C74C05"/>
    <w:rsid w:val="00C75D51"/>
    <w:rsid w:val="00C817D8"/>
    <w:rsid w:val="00C828B3"/>
    <w:rsid w:val="00C84C5D"/>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582"/>
    <w:rsid w:val="00CF2706"/>
    <w:rsid w:val="00D07D61"/>
    <w:rsid w:val="00D146B4"/>
    <w:rsid w:val="00D14E41"/>
    <w:rsid w:val="00D2041D"/>
    <w:rsid w:val="00D20E02"/>
    <w:rsid w:val="00D250BE"/>
    <w:rsid w:val="00D33522"/>
    <w:rsid w:val="00D35CF6"/>
    <w:rsid w:val="00D36441"/>
    <w:rsid w:val="00D4069E"/>
    <w:rsid w:val="00D436C4"/>
    <w:rsid w:val="00D43B24"/>
    <w:rsid w:val="00D4732C"/>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4792"/>
    <w:rsid w:val="00DE4B7F"/>
    <w:rsid w:val="00DE515F"/>
    <w:rsid w:val="00DE59F1"/>
    <w:rsid w:val="00DE62CC"/>
    <w:rsid w:val="00DF00FF"/>
    <w:rsid w:val="00DF0598"/>
    <w:rsid w:val="00DF5FFA"/>
    <w:rsid w:val="00DF7317"/>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305C"/>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545D"/>
    <w:rsid w:val="00F857F4"/>
    <w:rsid w:val="00F93CA9"/>
    <w:rsid w:val="00FA132E"/>
    <w:rsid w:val="00FA5057"/>
    <w:rsid w:val="00FB2FBA"/>
    <w:rsid w:val="00FB3AEC"/>
    <w:rsid w:val="00FB7554"/>
    <w:rsid w:val="00FC00B5"/>
    <w:rsid w:val="00FC109E"/>
    <w:rsid w:val="00FC2265"/>
    <w:rsid w:val="00FC2F9B"/>
    <w:rsid w:val="00FC517B"/>
    <w:rsid w:val="00FC65EB"/>
    <w:rsid w:val="00FC6950"/>
    <w:rsid w:val="00FD2611"/>
    <w:rsid w:val="00FD6C3B"/>
    <w:rsid w:val="00FE1721"/>
    <w:rsid w:val="00FE2DAE"/>
    <w:rsid w:val="00FE337D"/>
    <w:rsid w:val="00FE5FAB"/>
    <w:rsid w:val="00FE67E8"/>
    <w:rsid w:val="00FE7EF9"/>
    <w:rsid w:val="00FF2AAA"/>
    <w:rsid w:val="00FF4267"/>
    <w:rsid w:val="00FF46D2"/>
    <w:rsid w:val="00FF5741"/>
    <w:rsid w:val="00FF59D9"/>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80/01947648.2022.2162171" TargetMode="External"/><Relationship Id="rId18" Type="http://schemas.openxmlformats.org/officeDocument/2006/relationships/hyperlink" Target="https://doi.org/10.1016/j.genhosppsych.2019.01.009" TargetMode="External"/><Relationship Id="rId26" Type="http://schemas.openxmlformats.org/officeDocument/2006/relationships/hyperlink" Target="https://doi.org/10.3390/jcm10122555" TargetMode="External"/><Relationship Id="rId3" Type="http://schemas.openxmlformats.org/officeDocument/2006/relationships/customXml" Target="../customXml/item3.xml"/><Relationship Id="rId21" Type="http://schemas.openxmlformats.org/officeDocument/2006/relationships/hyperlink" Target="https://doi.org/10.1016/j.mayocp.2024.06.002" TargetMode="Externa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hyperlink" Target="https://doi.org/10.1016/j.ncl.2023.02.006" TargetMode="External"/><Relationship Id="rId25" Type="http://schemas.openxmlformats.org/officeDocument/2006/relationships/hyperlink" Target="https://doi.org/10.1176/appi.ajp.23180001" TargetMode="External"/><Relationship Id="rId2" Type="http://schemas.openxmlformats.org/officeDocument/2006/relationships/customXml" Target="../customXml/item2.xml"/><Relationship Id="rId16" Type="http://schemas.openxmlformats.org/officeDocument/2006/relationships/hyperlink" Target="http://www.ncbi.nlm.nih.gov/pubmed/15784664" TargetMode="External"/><Relationship Id="rId20" Type="http://schemas.openxmlformats.org/officeDocument/2006/relationships/hyperlink" Target="https://doi.org/10.1186/s12888-021-03303-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002/jhm.1319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i.org/10.1002/14651858.CD015405.pub2" TargetMode="External"/><Relationship Id="rId23" Type="http://schemas.openxmlformats.org/officeDocument/2006/relationships/hyperlink" Target="https://www.aafp.org/afp/2024/0200/practice-guidelines-eating-disorder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i.org/10.1093/med/9780199731855.003.003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56/NEJM198812223192504" TargetMode="External"/><Relationship Id="rId22" Type="http://schemas.openxmlformats.org/officeDocument/2006/relationships/hyperlink" Target="https://doi.org/10.1176/appi.books.9780890425787.x10_Feeding_and_Eating_Disorders" TargetMode="External"/><Relationship Id="rId27" Type="http://schemas.openxmlformats.org/officeDocument/2006/relationships/hyperlink" Target="https://doi.org/10.1056/NEJMcp1803175" TargetMode="Externa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4.xml><?xml version="1.0" encoding="utf-8"?>
<ds:datastoreItem xmlns:ds="http://schemas.openxmlformats.org/officeDocument/2006/customXml" ds:itemID="{BF646D45-BEAC-4A32-A823-4D2EE17EF9C7}"/>
</file>

<file path=docProps/app.xml><?xml version="1.0" encoding="utf-8"?>
<Properties xmlns="http://schemas.openxmlformats.org/officeDocument/2006/extended-properties" xmlns:vt="http://schemas.openxmlformats.org/officeDocument/2006/docPropsVTypes">
  <Template>Normal</Template>
  <TotalTime>322</TotalTime>
  <Pages>91</Pages>
  <Words>26622</Words>
  <Characters>151748</Characters>
  <Application>Microsoft Office Word</Application>
  <DocSecurity>0</DocSecurity>
  <Lines>1264</Lines>
  <Paragraphs>356</Paragraphs>
  <ScaleCrop>false</ScaleCrop>
  <Company>Academy of Psychosomatic Medicine</Company>
  <LinksUpToDate>false</LinksUpToDate>
  <CharactersWithSpaces>178014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724</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