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B24CA" w14:textId="3819F7DE"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7" w:name="_Toc235221544"/>
      <w:r w:rsidR="00C6326B" w:rsidRPr="00A51C84">
        <w:rPr>
          <w:rFonts w:asciiTheme="minorHAnsi" w:hAnsiTheme="minorHAnsi" w:cstheme="minorHAnsi"/>
          <w:sz w:val="22"/>
          <w:szCs w:val="22"/>
        </w:rPr>
        <w:t xml:space="preserve">Vignette </w:t>
      </w:r>
      <w:r w:rsidR="0084089E" w:rsidRPr="00A51C84">
        <w:rPr>
          <w:rFonts w:asciiTheme="minorHAnsi" w:hAnsiTheme="minorHAnsi" w:cstheme="minorHAnsi"/>
          <w:sz w:val="22"/>
          <w:szCs w:val="22"/>
        </w:rPr>
        <w:t>3</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Bereavement</w:t>
      </w:r>
      <w:bookmarkEnd w:id="7"/>
    </w:p>
    <w:p w14:paraId="3B7F15B3" w14:textId="77777777" w:rsidR="00C6326B" w:rsidRPr="00A51C84" w:rsidRDefault="00C6326B" w:rsidP="00C66607">
      <w:pPr>
        <w:contextualSpacing/>
        <w:rPr>
          <w:rFonts w:cstheme="minorHAnsi"/>
        </w:rPr>
      </w:pPr>
    </w:p>
    <w:p w14:paraId="430C4CFB" w14:textId="1465BAE5" w:rsidR="00F43D04" w:rsidRPr="00A51C84" w:rsidRDefault="00F43D04" w:rsidP="00C66607">
      <w:pPr>
        <w:contextualSpacing/>
        <w:rPr>
          <w:rFonts w:cstheme="minorHAnsi"/>
        </w:rPr>
      </w:pPr>
      <w:r w:rsidRPr="00A51C84">
        <w:rPr>
          <w:rFonts w:cstheme="minorHAnsi"/>
        </w:rPr>
        <w:t xml:space="preserve">A 65-year-old Asian woman is admitted to the hospital for syncope. During the medical workup, she is found to have atrial fibrillation. She has a history of diabetes, osteoporosis, hypothyroidism, and carpal tunnel syndrome. Her medications include metformin, </w:t>
      </w:r>
      <w:r w:rsidR="00006B9E" w:rsidRPr="00A51C84">
        <w:rPr>
          <w:rFonts w:cstheme="minorHAnsi"/>
        </w:rPr>
        <w:t>levo</w:t>
      </w:r>
      <w:r w:rsidRPr="00A51C84">
        <w:rPr>
          <w:rFonts w:cstheme="minorHAnsi"/>
        </w:rPr>
        <w:t xml:space="preserve">thyroxine, and a calcium supplement. In discussing the investigation and management options for the atrial fibrillation, the patient appears tearful, and when asked by the attending physician about any emotional distress she might be experiencing, she states that she does not like hospitals. A psychiatry consult is requested for “depression.” </w:t>
      </w:r>
    </w:p>
    <w:p w14:paraId="49F21472" w14:textId="77777777" w:rsidR="00F43D04" w:rsidRPr="00A51C84" w:rsidRDefault="00F43D04" w:rsidP="00C66607">
      <w:pPr>
        <w:contextualSpacing/>
        <w:rPr>
          <w:rFonts w:cstheme="minorHAnsi"/>
        </w:rPr>
      </w:pPr>
    </w:p>
    <w:p w14:paraId="67073C64" w14:textId="1DBFA641" w:rsidR="00F43D04" w:rsidRPr="00A51C84" w:rsidRDefault="00F43D04" w:rsidP="00C66607">
      <w:pPr>
        <w:contextualSpacing/>
        <w:rPr>
          <w:rFonts w:cstheme="minorHAnsi"/>
        </w:rPr>
      </w:pPr>
      <w:r w:rsidRPr="00A51C84">
        <w:rPr>
          <w:rFonts w:cstheme="minorHAnsi"/>
        </w:rPr>
        <w:t xml:space="preserve">On approach, the patient appears somewhat downcast and </w:t>
      </w:r>
      <w:r w:rsidR="009F0958" w:rsidRPr="00A51C84">
        <w:rPr>
          <w:rFonts w:cstheme="minorHAnsi"/>
        </w:rPr>
        <w:t xml:space="preserve">reluctant </w:t>
      </w:r>
      <w:r w:rsidRPr="00A51C84">
        <w:rPr>
          <w:rFonts w:cstheme="minorHAnsi"/>
        </w:rPr>
        <w:t xml:space="preserve">to speak to the psychiatric consultant. She smiles politely at the consultant and states that she “just got emotional” from the stress of the hospital admission and being diagnosed with a “heart problem.” She spontaneously emphasizes that she is “not crazy” and has never needed help for a “mental condition.” With some encouragement, she agrees to give a brief history. She was recently widowed when her husband died from metastatic colon cancer in a hospice three months ago. </w:t>
      </w:r>
    </w:p>
    <w:p w14:paraId="1BA4C683" w14:textId="77777777" w:rsidR="00F43D04" w:rsidRPr="00A51C84" w:rsidRDefault="00F43D04" w:rsidP="00C66607">
      <w:pPr>
        <w:contextualSpacing/>
        <w:rPr>
          <w:rFonts w:cstheme="minorHAnsi"/>
        </w:rPr>
      </w:pPr>
    </w:p>
    <w:p w14:paraId="1B603E93" w14:textId="5C59D4E4" w:rsidR="00F43D04" w:rsidRPr="00A51C84" w:rsidRDefault="00F43D04" w:rsidP="00C66607">
      <w:pPr>
        <w:contextualSpacing/>
        <w:rPr>
          <w:rFonts w:cstheme="minorHAnsi"/>
        </w:rPr>
      </w:pPr>
      <w:r w:rsidRPr="00A51C84">
        <w:rPr>
          <w:rFonts w:cstheme="minorHAnsi"/>
        </w:rPr>
        <w:t xml:space="preserve">She has three adult children. Her main support is her youngest daughter, although the patient asks that you not “bother” her daughter with any questions when you ask for permission to speak with her. When you try to inquire further about her reluctance to allow you to speak with her daughter, the patient indicates that her daughter has “been through enough” with the death of her father. At this point, the patient becomes tearful for a moment before quickly wiping the tears from the corner of her eyes. She then asks, “Anything </w:t>
      </w:r>
      <w:r w:rsidR="006E58B4" w:rsidRPr="00A51C84">
        <w:rPr>
          <w:rFonts w:cstheme="minorHAnsi"/>
        </w:rPr>
        <w:t>else</w:t>
      </w:r>
      <w:r w:rsidRPr="00A51C84">
        <w:rPr>
          <w:rFonts w:cstheme="minorHAnsi"/>
        </w:rPr>
        <w:t>?”</w:t>
      </w:r>
    </w:p>
    <w:p w14:paraId="2F8F637E" w14:textId="77777777" w:rsidR="002A7D97" w:rsidRPr="00A51C84" w:rsidRDefault="002A7D97" w:rsidP="00C66607">
      <w:pPr>
        <w:contextualSpacing/>
        <w:rPr>
          <w:rFonts w:cstheme="minorHAnsi"/>
        </w:rPr>
      </w:pPr>
    </w:p>
    <w:p w14:paraId="30697EC9"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2C4D9A51" w14:textId="77777777" w:rsidR="00E577EA" w:rsidRDefault="00E577EA" w:rsidP="00C66607">
      <w:pPr>
        <w:pStyle w:val="Heading3"/>
        <w:spacing w:before="0"/>
        <w:contextualSpacing/>
        <w:rPr>
          <w:rFonts w:asciiTheme="minorHAnsi" w:hAnsiTheme="minorHAnsi" w:cstheme="minorHAnsi"/>
        </w:rPr>
      </w:pPr>
    </w:p>
    <w:p w14:paraId="63196713" w14:textId="115CB30C"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additional questions would you ask to assess the patient to determine if </w:t>
      </w:r>
      <w:r w:rsidR="00A27F78" w:rsidRPr="00A51C84">
        <w:rPr>
          <w:rFonts w:asciiTheme="minorHAnsi" w:hAnsiTheme="minorHAnsi" w:cstheme="minorHAnsi"/>
        </w:rPr>
        <w:br/>
      </w:r>
      <w:r w:rsidRPr="00A51C84">
        <w:rPr>
          <w:rFonts w:asciiTheme="minorHAnsi" w:hAnsiTheme="minorHAnsi" w:cstheme="minorHAnsi"/>
        </w:rPr>
        <w:t>she is depressed?</w:t>
      </w:r>
    </w:p>
    <w:p w14:paraId="3825EFCA" w14:textId="77777777" w:rsidR="00E577EA" w:rsidRDefault="00E577EA" w:rsidP="00E577EA">
      <w:pPr>
        <w:pStyle w:val="Heading3"/>
        <w:spacing w:before="0"/>
        <w:contextualSpacing/>
        <w:rPr>
          <w:rFonts w:asciiTheme="minorHAnsi" w:hAnsiTheme="minorHAnsi" w:cstheme="minorHAnsi"/>
        </w:rPr>
      </w:pPr>
    </w:p>
    <w:p w14:paraId="226CF479" w14:textId="77777777" w:rsidR="00E577EA" w:rsidRDefault="00E577EA" w:rsidP="00E577EA"/>
    <w:p w14:paraId="48EB8280" w14:textId="77777777" w:rsidR="00E577EA" w:rsidRDefault="00E577EA" w:rsidP="00E577EA"/>
    <w:p w14:paraId="0DFA395A" w14:textId="77777777" w:rsidR="00E577EA" w:rsidRDefault="00E577EA" w:rsidP="00E577EA"/>
    <w:p w14:paraId="5376E4CC" w14:textId="77777777" w:rsidR="00E577EA" w:rsidRDefault="00E577EA" w:rsidP="00E577EA"/>
    <w:p w14:paraId="13343B4E" w14:textId="77777777" w:rsidR="00E577EA" w:rsidRPr="007B0CD1" w:rsidRDefault="00E577EA" w:rsidP="00E577EA"/>
    <w:p w14:paraId="55D3E6F7" w14:textId="77777777" w:rsidR="00E577EA" w:rsidRPr="007B0CD1" w:rsidRDefault="00E577EA" w:rsidP="00E577EA"/>
    <w:p w14:paraId="54472421" w14:textId="0DA93855"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are the potential causes for the patient’s tearfulness</w:t>
      </w:r>
      <w:r w:rsidR="00E638A8" w:rsidRPr="00A51C84">
        <w:rPr>
          <w:rFonts w:asciiTheme="minorHAnsi" w:hAnsiTheme="minorHAnsi" w:cstheme="minorHAnsi"/>
        </w:rPr>
        <w:t>? W</w:t>
      </w:r>
      <w:r w:rsidRPr="00A51C84">
        <w:rPr>
          <w:rFonts w:asciiTheme="minorHAnsi" w:hAnsiTheme="minorHAnsi" w:cstheme="minorHAnsi"/>
        </w:rPr>
        <w:t>hat is your differential diagnosis? What are the differences between major depressive disorder and bereavement?</w:t>
      </w:r>
    </w:p>
    <w:p w14:paraId="3D508472" w14:textId="77777777" w:rsidR="00E577EA" w:rsidRDefault="00E577EA" w:rsidP="00E577EA">
      <w:pPr>
        <w:pStyle w:val="Heading3"/>
        <w:spacing w:before="0"/>
        <w:contextualSpacing/>
        <w:rPr>
          <w:rFonts w:asciiTheme="minorHAnsi" w:hAnsiTheme="minorHAnsi" w:cstheme="minorHAnsi"/>
        </w:rPr>
      </w:pPr>
    </w:p>
    <w:p w14:paraId="54F5E6C6" w14:textId="77777777" w:rsidR="00E577EA" w:rsidRDefault="00E577EA" w:rsidP="00E577EA"/>
    <w:p w14:paraId="78A32034" w14:textId="77777777" w:rsidR="00E577EA" w:rsidRDefault="00E577EA" w:rsidP="00E577EA"/>
    <w:p w14:paraId="251768C6" w14:textId="77777777" w:rsidR="00E577EA" w:rsidRDefault="00E577EA" w:rsidP="00E577EA"/>
    <w:p w14:paraId="0E1B2D67" w14:textId="77777777" w:rsidR="00E577EA" w:rsidRDefault="00E577EA" w:rsidP="00E577EA"/>
    <w:p w14:paraId="43A9881B" w14:textId="77777777" w:rsidR="00E577EA" w:rsidRPr="007B0CD1" w:rsidRDefault="00E577EA" w:rsidP="00E577EA"/>
    <w:p w14:paraId="59D75CC8" w14:textId="77777777" w:rsidR="00E577EA" w:rsidRPr="007B0CD1" w:rsidRDefault="00E577EA" w:rsidP="00E577EA"/>
    <w:p w14:paraId="024B7A38" w14:textId="77777777" w:rsidR="00C6326B" w:rsidRDefault="00C6326B" w:rsidP="00C66607">
      <w:pPr>
        <w:contextualSpacing/>
        <w:rPr>
          <w:rFonts w:cstheme="minorHAnsi"/>
        </w:rPr>
      </w:pPr>
    </w:p>
    <w:p w14:paraId="7CB33FDB" w14:textId="77777777" w:rsidR="002B25CC" w:rsidRPr="00A51C84" w:rsidRDefault="002B25CC" w:rsidP="00C66607">
      <w:pPr>
        <w:contextualSpacing/>
        <w:rPr>
          <w:rFonts w:cstheme="minorHAnsi"/>
        </w:rPr>
      </w:pPr>
    </w:p>
    <w:p w14:paraId="205DA5EA" w14:textId="4EB5246A" w:rsidR="00C6326B" w:rsidRPr="00A51C84" w:rsidRDefault="00C6326B" w:rsidP="00C66607">
      <w:pPr>
        <w:pStyle w:val="Heading2"/>
        <w:contextualSpacing/>
        <w:rPr>
          <w:rFonts w:asciiTheme="minorHAnsi" w:hAnsiTheme="minorHAnsi" w:cstheme="minorHAnsi"/>
          <w:szCs w:val="22"/>
        </w:rPr>
      </w:pPr>
      <w:r w:rsidRPr="00A51C84">
        <w:rPr>
          <w:rFonts w:asciiTheme="minorHAnsi" w:hAnsiTheme="minorHAnsi" w:cstheme="minorHAnsi"/>
          <w:i w:val="0"/>
          <w:iCs/>
          <w:szCs w:val="22"/>
        </w:rPr>
        <w:lastRenderedPageBreak/>
        <w:t>C</w:t>
      </w:r>
      <w:r w:rsidR="002A7D97" w:rsidRPr="00A51C84">
        <w:rPr>
          <w:rFonts w:asciiTheme="minorHAnsi" w:hAnsiTheme="minorHAnsi" w:cstheme="minorHAnsi"/>
          <w:i w:val="0"/>
          <w:iCs/>
          <w:caps w:val="0"/>
          <w:szCs w:val="22"/>
        </w:rPr>
        <w:t>ontinuation of Vignette:</w:t>
      </w:r>
    </w:p>
    <w:p w14:paraId="7F281E50" w14:textId="77777777" w:rsidR="007A3E59" w:rsidRPr="00A51C84" w:rsidRDefault="007A3E59" w:rsidP="00C66607">
      <w:pPr>
        <w:contextualSpacing/>
        <w:rPr>
          <w:rFonts w:cstheme="minorHAnsi"/>
        </w:rPr>
      </w:pPr>
      <w:r w:rsidRPr="00A51C84">
        <w:rPr>
          <w:rFonts w:cstheme="minorHAnsi"/>
        </w:rPr>
        <w:t xml:space="preserve">Although you believe that normal grief, rather than major depression, is responsible for the patient’s tearfulness, you are concerned that the patient is not being entirely forthcoming. You would like to speak to the patient’s daughter to gather more collateral information. You happen to run into the daughter as you are leaving the patient’s room. The daughter indicates that she would like to speak with you about her mother and asks what you spoke about during the assessment. </w:t>
      </w:r>
    </w:p>
    <w:p w14:paraId="3A4DC331" w14:textId="77777777" w:rsidR="00C6326B" w:rsidRPr="00A51C84" w:rsidRDefault="00C6326B" w:rsidP="00C66607">
      <w:pPr>
        <w:contextualSpacing/>
        <w:rPr>
          <w:rFonts w:cstheme="minorHAnsi"/>
        </w:rPr>
      </w:pPr>
    </w:p>
    <w:p w14:paraId="69723AB1" w14:textId="03E8D29E" w:rsidR="006567D1"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Pr="00A51C84">
        <w:rPr>
          <w:rFonts w:asciiTheme="minorHAnsi" w:hAnsiTheme="minorHAnsi" w:cstheme="minorHAnsi"/>
        </w:rPr>
        <w:t xml:space="preserve">Could you ask the daughter any questions about her mother’s condition? If not, can you still obtain information from the daughter? </w:t>
      </w:r>
    </w:p>
    <w:p w14:paraId="69F9FCFB" w14:textId="77777777" w:rsidR="00E577EA" w:rsidRDefault="00E577EA" w:rsidP="00E577EA">
      <w:pPr>
        <w:pStyle w:val="Heading3"/>
        <w:spacing w:before="0"/>
        <w:contextualSpacing/>
        <w:rPr>
          <w:rFonts w:asciiTheme="minorHAnsi" w:hAnsiTheme="minorHAnsi" w:cstheme="minorHAnsi"/>
        </w:rPr>
      </w:pPr>
    </w:p>
    <w:p w14:paraId="366B26C4" w14:textId="77777777" w:rsidR="00E577EA" w:rsidRDefault="00E577EA" w:rsidP="00E577EA"/>
    <w:p w14:paraId="47BAF12A" w14:textId="77777777" w:rsidR="00E577EA" w:rsidRDefault="00E577EA" w:rsidP="00E577EA"/>
    <w:p w14:paraId="69C2A86E" w14:textId="77777777" w:rsidR="00E577EA" w:rsidRDefault="00E577EA" w:rsidP="00E577EA"/>
    <w:p w14:paraId="6BC46B6F" w14:textId="77777777" w:rsidR="00E577EA" w:rsidRDefault="00E577EA" w:rsidP="00E577EA"/>
    <w:p w14:paraId="695A7B9B" w14:textId="77777777" w:rsidR="00E577EA" w:rsidRPr="007B0CD1" w:rsidRDefault="00E577EA" w:rsidP="00E577EA"/>
    <w:p w14:paraId="4F44D3EE" w14:textId="77777777" w:rsidR="00E577EA" w:rsidRPr="007B0CD1" w:rsidRDefault="00E577EA" w:rsidP="00E577EA"/>
    <w:p w14:paraId="04D999EA"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What would you tell the daughter in response to her question about the </w:t>
      </w:r>
      <w:r w:rsidR="00A27F78" w:rsidRPr="00A51C84">
        <w:rPr>
          <w:rFonts w:asciiTheme="minorHAnsi" w:hAnsiTheme="minorHAnsi" w:cstheme="minorHAnsi"/>
        </w:rPr>
        <w:br/>
      </w:r>
      <w:r w:rsidRPr="00A51C84">
        <w:rPr>
          <w:rFonts w:asciiTheme="minorHAnsi" w:hAnsiTheme="minorHAnsi" w:cstheme="minorHAnsi"/>
        </w:rPr>
        <w:t>psychiatric evaluation?</w:t>
      </w:r>
    </w:p>
    <w:p w14:paraId="360F50DB" w14:textId="77777777" w:rsidR="00E577EA" w:rsidRDefault="00E577EA" w:rsidP="00E577EA">
      <w:pPr>
        <w:pStyle w:val="Heading3"/>
        <w:spacing w:before="0"/>
        <w:contextualSpacing/>
        <w:rPr>
          <w:rFonts w:asciiTheme="minorHAnsi" w:hAnsiTheme="minorHAnsi" w:cstheme="minorHAnsi"/>
        </w:rPr>
      </w:pPr>
    </w:p>
    <w:p w14:paraId="049DA021" w14:textId="77777777" w:rsidR="00E577EA" w:rsidRDefault="00E577EA" w:rsidP="00E577EA"/>
    <w:p w14:paraId="2E14B8CD" w14:textId="77777777" w:rsidR="00E577EA" w:rsidRDefault="00E577EA" w:rsidP="00E577EA"/>
    <w:p w14:paraId="6C026DC2" w14:textId="77777777" w:rsidR="00E577EA" w:rsidRDefault="00E577EA" w:rsidP="00E577EA"/>
    <w:p w14:paraId="34398AC9" w14:textId="77777777" w:rsidR="00E577EA" w:rsidRDefault="00E577EA" w:rsidP="00E577EA"/>
    <w:p w14:paraId="1E8E1CA9" w14:textId="77777777" w:rsidR="00E577EA" w:rsidRPr="007B0CD1" w:rsidRDefault="00E577EA" w:rsidP="00E577EA"/>
    <w:p w14:paraId="4CEE387D" w14:textId="77777777" w:rsidR="00E577EA" w:rsidRPr="007B0CD1" w:rsidRDefault="00E577EA" w:rsidP="00E577EA"/>
    <w:p w14:paraId="3C3AE15A" w14:textId="11C2D72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001A3069" w:rsidRPr="00A51C84">
        <w:rPr>
          <w:rFonts w:asciiTheme="minorHAnsi" w:hAnsiTheme="minorHAnsi" w:cstheme="minorHAnsi"/>
        </w:rPr>
        <w:t>If you determine that the patient is suffering from persistent complex bereavement or prolonged grief disorder, what, if any, interventions would you suggest? Are there any validated, time-limited psychotherapeutic interventions that are designed to address a depressive episode as a result of a death?</w:t>
      </w:r>
    </w:p>
    <w:p w14:paraId="6C4AC6E7" w14:textId="77777777" w:rsidR="00C6326B" w:rsidRPr="00A51C84" w:rsidRDefault="00C6326B" w:rsidP="00C66607">
      <w:pPr>
        <w:contextualSpacing/>
        <w:rPr>
          <w:rFonts w:cstheme="minorHAnsi"/>
        </w:rPr>
      </w:pP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